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9F" w:rsidRPr="00FC6B80" w:rsidRDefault="007A349F">
      <w:pPr>
        <w:pStyle w:val="Heading2"/>
        <w:rPr>
          <w:sz w:val="24"/>
          <w:szCs w:val="24"/>
        </w:rPr>
      </w:pPr>
      <w:r w:rsidRPr="00FC6B80">
        <w:rPr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387pt;margin-top:-146.45pt;width:99pt;height:27pt;z-index:251657216" stroked="f">
            <v:textbox style="mso-next-textbox:#_x0000_s2052">
              <w:txbxContent>
                <w:p w:rsidR="007A349F" w:rsidRDefault="007A349F">
                  <w:r>
                    <w:t xml:space="preserve"> </w:t>
                  </w:r>
                </w:p>
              </w:txbxContent>
            </v:textbox>
          </v:shape>
        </w:pict>
      </w:r>
      <w:r w:rsidRPr="00FC6B80">
        <w:rPr>
          <w:noProof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margin-left:378pt;margin-top:-128.45pt;width:166.5pt;height:55.5pt;z-index:-251658240">
            <v:imagedata r:id="rId7" o:title=""/>
          </v:shape>
          <o:OLEObject Type="Embed" ProgID="Imaging.Document" ShapeID="_x0000_s2053" DrawAspect="Content" ObjectID="_1361865608" r:id="rId8"/>
        </w:pict>
      </w:r>
      <w:r w:rsidRPr="00FC6B80">
        <w:rPr>
          <w:sz w:val="24"/>
          <w:szCs w:val="24"/>
        </w:rPr>
        <w:t>Mentor Teacher Role Description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Mentor teachers should:-</w:t>
      </w:r>
    </w:p>
    <w:p w:rsid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  <w:t>Prior to the professional experience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Fully inform themselves of the requirements of the professional experience placement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as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specified in the professional experience handbooks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Attend group information sessions provided for Northern Territory students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Complete introductions and read introductory profile</w:t>
      </w:r>
    </w:p>
    <w:p w:rsid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  <w:t>During observation and team teaching period of the professional experience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Introduce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carefully to the class as a teaching colleague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Model classroom practice: discuss own lesson planning, pedagogy, </w:t>
      </w: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classroom</w:t>
      </w:r>
      <w:proofErr w:type="gramEnd"/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management</w:t>
      </w:r>
      <w:proofErr w:type="gramEnd"/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Discuss expected standards and routines of the classroom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Provide background information about the class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Explain the current teaching program and where a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teacher’s blocks of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teaching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will fit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Discuss assessment types and timelines and reporting strategies and requirements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Introduce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to members of faculty/school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Induct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teachers into beyond classroom professional responsibilities such as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yard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duty, faculty and staff meetings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Introduce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to the protocols of viewing/booking/using resources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and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technologies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Support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in completion of observation and resource collection/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dialogue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needed for completion of CDU academic units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Encourage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teachers to observe the classes of teachers other than those of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mentor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teachers</w:t>
      </w:r>
    </w:p>
    <w:p w:rsid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  <w:t>During the teaching phase of the professional experience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Assist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in preparation of lesson plans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Review lesson plans and offer constructive feedback prior to lesson delivery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Ensure that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teachers are appropriately supervised at all times in the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classroom</w:t>
      </w:r>
      <w:proofErr w:type="gramEnd"/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Observe lesson delivery and give verbal and/or written feedback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Assist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teachers in development of formative and summative assessment tasks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Assist with assessing of student work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Give models for recording and responding to student achievement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Model teacher to parent interactions and involve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in these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interactions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where possible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Respond to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teacher’s reflective journal where appropriate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Hold regular professional discussions, offering professional advice and feedback and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allowing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teachers to share their own feelings, reflections and concerns about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their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practice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Assist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teachers to develop a repertoire of classroom management strategies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and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a resource bank or professional “library” to assist their teaching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HelveticaNeue-Light"/>
          <w:color w:val="000000"/>
          <w:sz w:val="18"/>
          <w:szCs w:val="18"/>
          <w:lang w:eastAsia="en-AU"/>
        </w:rPr>
      </w:pPr>
      <w:r w:rsidRPr="00A600E8">
        <w:rPr>
          <w:rFonts w:asciiTheme="minorHAnsi" w:hAnsiTheme="minorHAnsi" w:cs="HelveticaNeue-Bold"/>
          <w:b/>
          <w:bCs/>
          <w:color w:val="FFFFFF"/>
          <w:sz w:val="16"/>
          <w:szCs w:val="16"/>
          <w:lang w:eastAsia="en-AU"/>
        </w:rPr>
        <w:t xml:space="preserve">6 </w:t>
      </w:r>
      <w:r w:rsidRPr="00A600E8">
        <w:rPr>
          <w:rFonts w:asciiTheme="minorHAnsi" w:hAnsiTheme="minorHAnsi" w:cs="HelveticaNeue-Light"/>
          <w:color w:val="000000"/>
          <w:sz w:val="18"/>
          <w:szCs w:val="18"/>
          <w:lang w:eastAsia="en-AU"/>
        </w:rPr>
        <w:t xml:space="preserve">Teaching &amp; Learning 1 ETP110/410 </w:t>
      </w:r>
      <w:proofErr w:type="gramStart"/>
      <w:r w:rsidRPr="00A600E8">
        <w:rPr>
          <w:rFonts w:asciiTheme="minorHAnsi" w:hAnsiTheme="minorHAnsi" w:cs="HelveticaNeue-Light"/>
          <w:color w:val="000000"/>
          <w:sz w:val="18"/>
          <w:szCs w:val="18"/>
          <w:lang w:eastAsia="en-AU"/>
        </w:rPr>
        <w:t>The</w:t>
      </w:r>
      <w:proofErr w:type="gramEnd"/>
      <w:r w:rsidRPr="00A600E8">
        <w:rPr>
          <w:rFonts w:asciiTheme="minorHAnsi" w:hAnsiTheme="minorHAnsi" w:cs="HelveticaNeue-Light"/>
          <w:color w:val="000000"/>
          <w:sz w:val="18"/>
          <w:szCs w:val="18"/>
          <w:lang w:eastAsia="en-AU"/>
        </w:rPr>
        <w:t xml:space="preserve"> Essential </w:t>
      </w:r>
      <w:proofErr w:type="spellStart"/>
      <w:r w:rsidRPr="00A600E8">
        <w:rPr>
          <w:rFonts w:asciiTheme="minorHAnsi" w:hAnsiTheme="minorHAnsi" w:cs="HelveticaNeue-Light"/>
          <w:color w:val="000000"/>
          <w:sz w:val="18"/>
          <w:szCs w:val="18"/>
          <w:lang w:eastAsia="en-AU"/>
        </w:rPr>
        <w:t>Learnings</w:t>
      </w:r>
      <w:proofErr w:type="spellEnd"/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Italic"/>
          <w:i/>
          <w:iCs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Assist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in gathering evidence of competence against the </w:t>
      </w:r>
      <w:r w:rsidRPr="00A600E8">
        <w:rPr>
          <w:rFonts w:asciiTheme="minorHAnsi" w:hAnsiTheme="minorHAnsi" w:cs="Centennial-LightItalic"/>
          <w:i/>
          <w:iCs/>
          <w:color w:val="000000"/>
          <w:sz w:val="20"/>
          <w:szCs w:val="20"/>
          <w:lang w:eastAsia="en-AU"/>
        </w:rPr>
        <w:t>Northern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Italic"/>
          <w:i/>
          <w:iCs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Italic"/>
          <w:i/>
          <w:iCs/>
          <w:color w:val="000000"/>
          <w:sz w:val="20"/>
          <w:szCs w:val="20"/>
          <w:lang w:eastAsia="en-AU"/>
        </w:rPr>
        <w:t>Territory Professional Standards for Graduating Teachers</w:t>
      </w:r>
      <w:proofErr w:type="gramStart"/>
      <w:r w:rsidRPr="00A600E8">
        <w:rPr>
          <w:rFonts w:asciiTheme="minorHAnsi" w:hAnsiTheme="minorHAnsi" w:cs="Centennial-LightItalic"/>
          <w:i/>
          <w:iCs/>
          <w:color w:val="000000"/>
          <w:sz w:val="20"/>
          <w:szCs w:val="20"/>
          <w:lang w:eastAsia="en-AU"/>
        </w:rPr>
        <w:t>.(</w:t>
      </w:r>
      <w:proofErr w:type="gramEnd"/>
      <w:r w:rsidRPr="00A600E8">
        <w:rPr>
          <w:rFonts w:asciiTheme="minorHAnsi" w:hAnsiTheme="minorHAnsi" w:cs="Centennial-LightItalic"/>
          <w:i/>
          <w:iCs/>
          <w:color w:val="000000"/>
          <w:sz w:val="20"/>
          <w:szCs w:val="20"/>
          <w:lang w:eastAsia="en-AU"/>
        </w:rPr>
        <w:t>or similar)</w:t>
      </w:r>
    </w:p>
    <w:p w:rsid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Bold"/>
          <w:b/>
          <w:bCs/>
          <w:color w:val="000000"/>
          <w:sz w:val="20"/>
          <w:szCs w:val="20"/>
          <w:lang w:eastAsia="en-AU"/>
        </w:rPr>
        <w:t>After the Professional Experience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• Develop goals with the </w:t>
      </w:r>
      <w:proofErr w:type="spell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preservice</w:t>
      </w:r>
      <w:proofErr w:type="spell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 xml:space="preserve"> teacher for their next period of professional</w:t>
      </w:r>
    </w:p>
    <w:p w:rsidR="00A600E8" w:rsidRPr="00A600E8" w:rsidRDefault="00A600E8" w:rsidP="00A600E8">
      <w:pPr>
        <w:autoSpaceDE w:val="0"/>
        <w:autoSpaceDN w:val="0"/>
        <w:adjustRightInd w:val="0"/>
        <w:rPr>
          <w:rFonts w:asciiTheme="minorHAnsi" w:hAnsiTheme="minorHAnsi" w:cs="Centennial-Light"/>
          <w:color w:val="000000"/>
          <w:sz w:val="20"/>
          <w:szCs w:val="20"/>
          <w:lang w:eastAsia="en-AU"/>
        </w:rPr>
      </w:pPr>
      <w:proofErr w:type="gramStart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experience</w:t>
      </w:r>
      <w:proofErr w:type="gramEnd"/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.</w:t>
      </w:r>
    </w:p>
    <w:p w:rsidR="007A349F" w:rsidRPr="00A600E8" w:rsidRDefault="00A600E8" w:rsidP="00A600E8">
      <w:pPr>
        <w:shd w:val="clear" w:color="auto" w:fill="FFFFFF"/>
        <w:spacing w:before="100" w:beforeAutospacing="1" w:after="100" w:afterAutospacing="1" w:line="360" w:lineRule="auto"/>
        <w:rPr>
          <w:rFonts w:asciiTheme="minorHAnsi" w:hAnsiTheme="minorHAnsi"/>
          <w:sz w:val="22"/>
          <w:szCs w:val="16"/>
        </w:rPr>
      </w:pPr>
      <w:r w:rsidRPr="00A600E8">
        <w:rPr>
          <w:rFonts w:asciiTheme="minorHAnsi" w:hAnsiTheme="minorHAnsi" w:cs="Centennial-Light"/>
          <w:color w:val="000000"/>
          <w:sz w:val="20"/>
          <w:szCs w:val="20"/>
          <w:lang w:eastAsia="en-AU"/>
        </w:rPr>
        <w:t>• Reflect on own mentoring practice.</w:t>
      </w:r>
    </w:p>
    <w:sectPr w:rsidR="007A349F" w:rsidRPr="00A600E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880" w:h="16820" w:code="9"/>
      <w:pgMar w:top="899" w:right="1134" w:bottom="0" w:left="1134" w:header="567" w:footer="174" w:gutter="0"/>
      <w:paperSrc w:first="7" w:other="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1F5" w:rsidRDefault="008A11F5">
      <w:r>
        <w:separator/>
      </w:r>
    </w:p>
  </w:endnote>
  <w:endnote w:type="continuationSeparator" w:id="0">
    <w:p w:rsidR="008A11F5" w:rsidRDefault="008A1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ennial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ennial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ennial-Light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49F" w:rsidRDefault="00ED0008">
    <w:pPr>
      <w:pStyle w:val="Footer"/>
    </w:pPr>
    <w:r>
      <w:rPr>
        <w:noProof/>
        <w:sz w:val="20"/>
        <w:lang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3989070</wp:posOffset>
          </wp:positionH>
          <wp:positionV relativeFrom="page">
            <wp:posOffset>9973310</wp:posOffset>
          </wp:positionV>
          <wp:extent cx="3211195" cy="361315"/>
          <wp:effectExtent l="19050" t="0" r="8255" b="0"/>
          <wp:wrapNone/>
          <wp:docPr id="3" name="Picture 3" descr="Footer -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 - 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1195" cy="3613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A349F" w:rsidRDefault="007A34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49F" w:rsidRDefault="007A349F">
    <w:pPr>
      <w:pStyle w:val="Footer"/>
    </w:pPr>
  </w:p>
  <w:p w:rsidR="007A349F" w:rsidRDefault="007A349F">
    <w:pPr>
      <w:pStyle w:val="Footer"/>
      <w:jc w:val="right"/>
      <w:rPr>
        <w:color w:val="003D7D"/>
        <w:sz w:val="28"/>
      </w:rPr>
    </w:pPr>
    <w:r>
      <w:rPr>
        <w:color w:val="003D7D"/>
        <w:sz w:val="28"/>
      </w:rPr>
      <w:t>www.deet.nt.gov.au</w:t>
    </w:r>
  </w:p>
  <w:p w:rsidR="007A349F" w:rsidRDefault="007A34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1F5" w:rsidRDefault="008A11F5">
      <w:r>
        <w:separator/>
      </w:r>
    </w:p>
  </w:footnote>
  <w:footnote w:type="continuationSeparator" w:id="0">
    <w:p w:rsidR="008A11F5" w:rsidRDefault="008A1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49F" w:rsidRDefault="007A34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A349F" w:rsidRDefault="007A34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49F" w:rsidRDefault="007A349F">
    <w:pPr>
      <w:jc w:val="center"/>
      <w:rPr>
        <w:rFonts w:cs="Arial"/>
      </w:rPr>
    </w:pPr>
    <w:r>
      <w:t xml:space="preserve">Page </w:t>
    </w:r>
    <w:fldSimple w:instr=" PAGE ">
      <w:r w:rsidR="00A600E8">
        <w:rPr>
          <w:noProof/>
        </w:rPr>
        <w:t>2</w:t>
      </w:r>
    </w:fldSimple>
    <w:r>
      <w:t xml:space="preserve"> of </w:t>
    </w:r>
    <w:fldSimple w:instr=" NUMPAGES ">
      <w:r w:rsidR="001D1E8E">
        <w:rPr>
          <w:noProof/>
        </w:rPr>
        <w:t>1</w:t>
      </w:r>
    </w:fldSimple>
  </w:p>
  <w:p w:rsidR="007A349F" w:rsidRDefault="007A349F">
    <w:pPr>
      <w:pStyle w:val="Header"/>
      <w:jc w:val="center"/>
      <w:rPr>
        <w:rFonts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49F" w:rsidRDefault="007A349F">
    <w:pPr>
      <w:pStyle w:val="Header"/>
      <w:ind w:left="907"/>
      <w:rPr>
        <w:sz w:val="20"/>
        <w:lang w:val="en-US"/>
      </w:rPr>
    </w:pPr>
  </w:p>
  <w:p w:rsidR="007A349F" w:rsidRDefault="007A349F">
    <w:pPr>
      <w:pStyle w:val="Header"/>
      <w:ind w:left="907"/>
      <w:rPr>
        <w:lang w:val="en-US"/>
      </w:rPr>
    </w:pPr>
  </w:p>
  <w:p w:rsidR="007A349F" w:rsidRDefault="007A349F">
    <w:pPr>
      <w:pStyle w:val="Header"/>
      <w:ind w:left="907"/>
      <w:rPr>
        <w:lang w:val="en-US"/>
      </w:rPr>
    </w:pPr>
  </w:p>
  <w:p w:rsidR="007A349F" w:rsidRDefault="007A349F">
    <w:pPr>
      <w:pStyle w:val="Header"/>
      <w:ind w:left="907"/>
      <w:rPr>
        <w:lang w:val="en-US"/>
      </w:rPr>
    </w:pPr>
    <w:r>
      <w:rPr>
        <w:lang w:val="en-US"/>
      </w:rPr>
      <w:t>DEPARTMENT OF EMPLOYMENT, EDUCATION AND TRAINING</w:t>
    </w:r>
  </w:p>
  <w:p w:rsidR="007A349F" w:rsidRDefault="007A349F">
    <w:pPr>
      <w:pStyle w:val="Header"/>
      <w:ind w:left="907"/>
      <w:rPr>
        <w:sz w:val="22"/>
        <w:lang w:val="en-US"/>
      </w:rPr>
    </w:pPr>
  </w:p>
  <w:tbl>
    <w:tblPr>
      <w:tblpPr w:vertAnchor="page" w:horzAnchor="page" w:tblpX="568" w:tblpY="568"/>
      <w:tblW w:w="8145" w:type="dxa"/>
      <w:shd w:val="clear" w:color="auto" w:fill="F48024"/>
      <w:tblLayout w:type="fixed"/>
      <w:tblCellMar>
        <w:left w:w="0" w:type="dxa"/>
        <w:right w:w="0" w:type="dxa"/>
      </w:tblCellMar>
      <w:tblLook w:val="01E0"/>
    </w:tblPr>
    <w:tblGrid>
      <w:gridCol w:w="1072"/>
      <w:gridCol w:w="43"/>
      <w:gridCol w:w="7030"/>
    </w:tblGrid>
    <w:tr w:rsidR="007A349F">
      <w:trPr>
        <w:cantSplit/>
        <w:trHeight w:hRule="exact" w:val="1245"/>
      </w:trPr>
      <w:tc>
        <w:tcPr>
          <w:tcW w:w="1072" w:type="dxa"/>
        </w:tcPr>
        <w:p w:rsidR="007A349F" w:rsidRDefault="00ED0008">
          <w:pPr>
            <w:pStyle w:val="AgencyName"/>
            <w:tabs>
              <w:tab w:val="right" w:pos="9044"/>
            </w:tabs>
          </w:pPr>
          <w:r>
            <w:rPr>
              <w:noProof/>
            </w:rPr>
            <w:drawing>
              <wp:inline distT="0" distB="0" distL="0" distR="0">
                <wp:extent cx="895350" cy="895350"/>
                <wp:effectExtent l="19050" t="0" r="0" b="0"/>
                <wp:docPr id="2" name="Picture 2" descr="NTG logo - reversed 300ppi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TG logo - reversed 300ppi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" w:type="dxa"/>
        </w:tcPr>
        <w:p w:rsidR="007A349F" w:rsidRDefault="007A349F">
          <w:pPr>
            <w:pStyle w:val="AgencyName"/>
            <w:tabs>
              <w:tab w:val="right" w:pos="9044"/>
            </w:tabs>
          </w:pPr>
        </w:p>
      </w:tc>
      <w:tc>
        <w:tcPr>
          <w:tcW w:w="7030" w:type="dxa"/>
          <w:shd w:val="clear" w:color="auto" w:fill="003D7D"/>
          <w:noWrap/>
          <w:tcMar>
            <w:left w:w="284" w:type="dxa"/>
          </w:tcMar>
          <w:vAlign w:val="bottom"/>
        </w:tcPr>
        <w:p w:rsidR="007A349F" w:rsidRPr="00FC6B80" w:rsidRDefault="007A349F">
          <w:pPr>
            <w:pStyle w:val="WebAddress"/>
            <w:jc w:val="left"/>
            <w:rPr>
              <w:rStyle w:val="AgencyNameBoldChar"/>
              <w:color w:val="FFFFFF"/>
            </w:rPr>
          </w:pPr>
          <w:r w:rsidRPr="00FC6B80">
            <w:rPr>
              <w:rStyle w:val="AgencyNameBoldChar"/>
              <w:color w:val="FFFFFF"/>
            </w:rPr>
            <w:t>DEPARTMENT OF EDUCATION AND TRAINING</w:t>
          </w:r>
        </w:p>
      </w:tc>
    </w:tr>
  </w:tbl>
  <w:p w:rsidR="007A349F" w:rsidRDefault="007A349F">
    <w:pPr>
      <w:pStyle w:val="Header"/>
      <w:ind w:left="907"/>
      <w:rPr>
        <w:sz w:val="22"/>
        <w:lang w:val="en-US"/>
      </w:rPr>
    </w:pPr>
  </w:p>
  <w:p w:rsidR="007A349F" w:rsidRDefault="007A349F">
    <w:pPr>
      <w:pStyle w:val="Header"/>
      <w:rPr>
        <w:sz w:val="2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312"/>
    <w:multiLevelType w:val="hybridMultilevel"/>
    <w:tmpl w:val="81DA0060"/>
    <w:lvl w:ilvl="0" w:tplc="48DED2FA">
      <w:start w:val="4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A44D9"/>
    <w:multiLevelType w:val="multilevel"/>
    <w:tmpl w:val="E2E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F1622F"/>
    <w:multiLevelType w:val="hybridMultilevel"/>
    <w:tmpl w:val="FC9C84A4"/>
    <w:lvl w:ilvl="0" w:tplc="0AF80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B393859"/>
    <w:multiLevelType w:val="hybridMultilevel"/>
    <w:tmpl w:val="C4741542"/>
    <w:lvl w:ilvl="0" w:tplc="CB923A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6D05F66"/>
    <w:multiLevelType w:val="hybridMultilevel"/>
    <w:tmpl w:val="15605B5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A752849"/>
    <w:multiLevelType w:val="hybridMultilevel"/>
    <w:tmpl w:val="5B52EDFC"/>
    <w:lvl w:ilvl="0" w:tplc="CB923A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07307C7"/>
    <w:multiLevelType w:val="hybridMultilevel"/>
    <w:tmpl w:val="2BD4CAFA"/>
    <w:lvl w:ilvl="0" w:tplc="139A7A04">
      <w:start w:val="1"/>
      <w:numFmt w:val="bullet"/>
      <w:lvlText w:val=""/>
      <w:lvlJc w:val="left"/>
      <w:pPr>
        <w:tabs>
          <w:tab w:val="num" w:pos="624"/>
        </w:tabs>
        <w:ind w:left="624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>
    <w:nsid w:val="54F46AD0"/>
    <w:multiLevelType w:val="hybridMultilevel"/>
    <w:tmpl w:val="827C5184"/>
    <w:lvl w:ilvl="0" w:tplc="29224626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56FD7AA6"/>
    <w:multiLevelType w:val="multilevel"/>
    <w:tmpl w:val="F9548F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righ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5BAB6F00"/>
    <w:multiLevelType w:val="hybridMultilevel"/>
    <w:tmpl w:val="3E7EE540"/>
    <w:lvl w:ilvl="0" w:tplc="CB923AB6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61"/>
        </w:tabs>
        <w:ind w:left="1461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81"/>
        </w:tabs>
        <w:ind w:left="2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01"/>
        </w:tabs>
        <w:ind w:left="2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21"/>
        </w:tabs>
        <w:ind w:left="3621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41"/>
        </w:tabs>
        <w:ind w:left="4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61"/>
        </w:tabs>
        <w:ind w:left="5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81"/>
        </w:tabs>
        <w:ind w:left="5781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</w:rPr>
    </w:lvl>
  </w:abstractNum>
  <w:abstractNum w:abstractNumId="10">
    <w:nsid w:val="5F324405"/>
    <w:multiLevelType w:val="hybridMultilevel"/>
    <w:tmpl w:val="7916B3BC"/>
    <w:lvl w:ilvl="0" w:tplc="139A7A04">
      <w:start w:val="1"/>
      <w:numFmt w:val="bullet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1B0E17"/>
    <w:multiLevelType w:val="multilevel"/>
    <w:tmpl w:val="14E26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67D2029"/>
    <w:multiLevelType w:val="hybridMultilevel"/>
    <w:tmpl w:val="F4F606AE"/>
    <w:lvl w:ilvl="0" w:tplc="139A7A04">
      <w:start w:val="1"/>
      <w:numFmt w:val="bullet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B442B1"/>
    <w:multiLevelType w:val="hybridMultilevel"/>
    <w:tmpl w:val="7D768A3E"/>
    <w:lvl w:ilvl="0" w:tplc="CB923AB6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0C09000F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4">
    <w:nsid w:val="6A731959"/>
    <w:multiLevelType w:val="hybridMultilevel"/>
    <w:tmpl w:val="4F50443A"/>
    <w:lvl w:ilvl="0" w:tplc="06FC7234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D065FE"/>
    <w:multiLevelType w:val="hybridMultilevel"/>
    <w:tmpl w:val="4EE06FA0"/>
    <w:lvl w:ilvl="0" w:tplc="CB923A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1505CA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EA68AC"/>
    <w:multiLevelType w:val="hybridMultilevel"/>
    <w:tmpl w:val="9BFA7410"/>
    <w:lvl w:ilvl="0" w:tplc="0FCAFA66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1"/>
  </w:num>
  <w:num w:numId="5">
    <w:abstractNumId w:val="9"/>
  </w:num>
  <w:num w:numId="6">
    <w:abstractNumId w:val="1"/>
  </w:num>
  <w:num w:numId="7">
    <w:abstractNumId w:val="15"/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7"/>
  </w:num>
  <w:num w:numId="13">
    <w:abstractNumId w:val="0"/>
  </w:num>
  <w:num w:numId="14">
    <w:abstractNumId w:val="8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numFmt w:val="lowerLetter"/>
        <w:lvlText w:val="%3."/>
        <w:lvlJc w:val="left"/>
      </w:lvl>
    </w:lvlOverride>
  </w:num>
  <w:num w:numId="15">
    <w:abstractNumId w:val="16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C6B80"/>
    <w:rsid w:val="001D1E8E"/>
    <w:rsid w:val="007A349F"/>
    <w:rsid w:val="008A11F5"/>
    <w:rsid w:val="00A600E8"/>
    <w:rsid w:val="00C6589E"/>
    <w:rsid w:val="00ED0008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before="100" w:beforeAutospacing="1" w:after="150"/>
      <w:ind w:left="-180"/>
      <w:outlineLvl w:val="0"/>
    </w:pPr>
    <w:rPr>
      <w:rFonts w:ascii="Arial" w:hAnsi="Arial" w:cs="Arial"/>
      <w:b/>
      <w:bCs/>
      <w:kern w:val="36"/>
      <w:sz w:val="22"/>
      <w:lang w:eastAsia="en-AU"/>
    </w:rPr>
  </w:style>
  <w:style w:type="paragraph" w:styleId="Heading2">
    <w:name w:val="heading 2"/>
    <w:basedOn w:val="Normal"/>
    <w:next w:val="Normal"/>
    <w:qFormat/>
    <w:pPr>
      <w:keepNext/>
      <w:shd w:val="clear" w:color="auto" w:fill="FFFFFF"/>
      <w:spacing w:before="100" w:beforeAutospacing="1" w:after="150"/>
      <w:outlineLvl w:val="1"/>
    </w:pPr>
    <w:rPr>
      <w:rFonts w:ascii="Arial" w:hAnsi="Arial" w:cs="Arial"/>
      <w:b/>
      <w:bCs/>
      <w:kern w:val="36"/>
      <w:sz w:val="22"/>
      <w:szCs w:val="3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Arial" w:hAnsi="Arial"/>
      <w:b/>
      <w:color w:val="FFFFFF"/>
      <w:sz w:val="23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rFonts w:ascii="Arial" w:hAnsi="Arial" w:cs="Arial"/>
      <w:sz w:val="20"/>
    </w:rPr>
  </w:style>
  <w:style w:type="paragraph" w:customStyle="1" w:styleId="AgencyName">
    <w:name w:val="AgencyName"/>
    <w:basedOn w:val="Normal"/>
    <w:pPr>
      <w:spacing w:after="120"/>
    </w:pPr>
    <w:rPr>
      <w:rFonts w:ascii="Arial" w:hAnsi="Arial"/>
      <w:spacing w:val="8"/>
      <w:sz w:val="26"/>
      <w:szCs w:val="26"/>
      <w:lang w:eastAsia="en-AU"/>
    </w:rPr>
  </w:style>
  <w:style w:type="paragraph" w:customStyle="1" w:styleId="WebAddress">
    <w:name w:val="WebAddress"/>
    <w:basedOn w:val="AgencyName"/>
    <w:pPr>
      <w:jc w:val="right"/>
    </w:pPr>
    <w:rPr>
      <w:sz w:val="28"/>
      <w:szCs w:val="28"/>
    </w:rPr>
  </w:style>
  <w:style w:type="character" w:customStyle="1" w:styleId="AgencyNameBoldChar">
    <w:name w:val="AgencyNameBold Char"/>
    <w:basedOn w:val="DefaultParagraphFont"/>
    <w:rPr>
      <w:rFonts w:ascii="Arial" w:hAnsi="Arial"/>
      <w:b/>
      <w:bCs/>
      <w:spacing w:val="16"/>
      <w:sz w:val="26"/>
      <w:szCs w:val="26"/>
      <w:lang w:val="en-AU" w:eastAsia="en-AU" w:bidi="ar-SA"/>
    </w:rPr>
  </w:style>
  <w:style w:type="character" w:styleId="Strong">
    <w:name w:val="Strong"/>
    <w:basedOn w:val="DefaultParagraphFont"/>
    <w:qFormat/>
    <w:rPr>
      <w:b/>
      <w:bCs/>
    </w:rPr>
  </w:style>
  <w:style w:type="character" w:styleId="FollowedHyperlink">
    <w:name w:val="FollowedHyperlink"/>
    <w:basedOn w:val="DefaultParagraphFont"/>
    <w:rsid w:val="00ED000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A600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00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People &amp; Learning</vt:lpstr>
    </vt:vector>
  </TitlesOfParts>
  <Company>DEET</Company>
  <LinksUpToDate>false</LinksUpToDate>
  <CharactersWithSpaces>2913</CharactersWithSpaces>
  <SharedDoc>false</SharedDoc>
  <HLinks>
    <vt:vector size="6" baseType="variant">
      <vt:variant>
        <vt:i4>7667775</vt:i4>
      </vt:variant>
      <vt:variant>
        <vt:i4>0</vt:i4>
      </vt:variant>
      <vt:variant>
        <vt:i4>0</vt:i4>
      </vt:variant>
      <vt:variant>
        <vt:i4>5</vt:i4>
      </vt:variant>
      <vt:variant>
        <vt:lpwstr>http://eschool.cdu.edu.au/roles/pll.htm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People &amp; Learning</dc:title>
  <dc:subject/>
  <dc:creator>anthony.dennien</dc:creator>
  <cp:keywords/>
  <dc:description/>
  <cp:lastModifiedBy>CDU</cp:lastModifiedBy>
  <cp:revision>4</cp:revision>
  <cp:lastPrinted>2011-03-17T01:43:00Z</cp:lastPrinted>
  <dcterms:created xsi:type="dcterms:W3CDTF">2011-03-17T01:41:00Z</dcterms:created>
  <dcterms:modified xsi:type="dcterms:W3CDTF">2011-03-17T01:44:00Z</dcterms:modified>
</cp:coreProperties>
</file>